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2076D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8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55F2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503F52">
                    <w:t>28.03</w:t>
                  </w:r>
                  <w:r w:rsidRPr="005856F7">
                    <w:t>.20</w:t>
                  </w:r>
                  <w:r w:rsidR="00503F52">
                    <w:t>22</w:t>
                  </w:r>
                  <w:r w:rsidRPr="005856F7">
                    <w:t xml:space="preserve"> №</w:t>
                  </w:r>
                  <w:r w:rsidR="00503F52">
                    <w:t>28</w:t>
                  </w:r>
                </w:p>
                <w:p w:rsidR="00310883" w:rsidRPr="00444EC9" w:rsidRDefault="00310883" w:rsidP="00444EC9"/>
              </w:txbxContent>
            </v:textbox>
          </v:shape>
        </w:pict>
      </w:r>
      <w:r w:rsidR="008D72D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F7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63084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503F5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310883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5F2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03F5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03F5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03F5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03F5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106D80">
      <w:pPr>
        <w:suppressAutoHyphens/>
        <w:contextualSpacing/>
        <w:jc w:val="center"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503F52">
        <w:rPr>
          <w:sz w:val="24"/>
          <w:szCs w:val="24"/>
        </w:rPr>
        <w:t>22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503F5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503F52">
        <w:rPr>
          <w:spacing w:val="-3"/>
          <w:sz w:val="24"/>
          <w:szCs w:val="24"/>
          <w:lang w:eastAsia="en-US"/>
        </w:rPr>
        <w:t xml:space="preserve">25 марта </w:t>
      </w:r>
      <w:r w:rsidRPr="006F6673">
        <w:rPr>
          <w:spacing w:val="-3"/>
          <w:sz w:val="24"/>
          <w:szCs w:val="24"/>
          <w:lang w:eastAsia="en-US"/>
        </w:rPr>
        <w:t>20</w:t>
      </w:r>
      <w:r w:rsidR="00503F52">
        <w:rPr>
          <w:spacing w:val="-3"/>
          <w:sz w:val="24"/>
          <w:szCs w:val="24"/>
          <w:lang w:eastAsia="en-US"/>
        </w:rPr>
        <w:t>22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503F52">
        <w:rPr>
          <w:spacing w:val="-3"/>
          <w:sz w:val="24"/>
          <w:szCs w:val="24"/>
          <w:lang w:eastAsia="en-US"/>
        </w:rPr>
        <w:t>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</w:t>
      </w:r>
      <w:r w:rsidR="00106D80">
        <w:rPr>
          <w:rFonts w:eastAsia="Courier New"/>
          <w:sz w:val="24"/>
          <w:szCs w:val="24"/>
          <w:lang w:bidi="ru-RU"/>
        </w:rPr>
        <w:t xml:space="preserve"> </w:t>
      </w:r>
      <w:r w:rsidR="0073242B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503F52" w:rsidRPr="00D21FE4" w:rsidRDefault="00444EC9" w:rsidP="00503F52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503F5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03F52" w:rsidRPr="00D21FE4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F52" w:rsidRPr="00D21FE4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503F52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503F52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503F52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503F52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503F52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503F5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03F5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503F52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503F52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03F52">
        <w:rPr>
          <w:b/>
          <w:bCs/>
          <w:sz w:val="24"/>
          <w:szCs w:val="24"/>
        </w:rPr>
        <w:t>п</w:t>
      </w:r>
      <w:r w:rsidR="009B3F2E">
        <w:rPr>
          <w:b/>
          <w:bCs/>
          <w:sz w:val="24"/>
          <w:szCs w:val="24"/>
        </w:rPr>
        <w:t>роизводственная</w:t>
      </w:r>
      <w:r w:rsidR="00503F52">
        <w:rPr>
          <w:b/>
          <w:bCs/>
          <w:sz w:val="24"/>
          <w:szCs w:val="24"/>
        </w:rPr>
        <w:t xml:space="preserve"> (педагогическая)</w:t>
      </w:r>
      <w:r w:rsidRPr="00C4549C">
        <w:rPr>
          <w:b/>
          <w:bCs/>
          <w:sz w:val="24"/>
          <w:szCs w:val="24"/>
        </w:rPr>
        <w:t xml:space="preserve"> практика (</w:t>
      </w:r>
      <w:r w:rsidR="00503F52">
        <w:rPr>
          <w:b/>
          <w:bCs/>
          <w:sz w:val="24"/>
          <w:szCs w:val="24"/>
        </w:rPr>
        <w:t>ранняя преподавательская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503F5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03F5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503F5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03F5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</w:t>
      </w:r>
      <w:r w:rsidR="00503F52">
        <w:rPr>
          <w:b/>
          <w:sz w:val="24"/>
          <w:szCs w:val="24"/>
        </w:rPr>
        <w:t>ической подготовки</w:t>
      </w:r>
      <w:r w:rsidRPr="006F6673">
        <w:rPr>
          <w:b/>
          <w:sz w:val="24"/>
          <w:szCs w:val="24"/>
        </w:rPr>
        <w:t>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106D80">
        <w:rPr>
          <w:rFonts w:ascii="Times New Roman" w:hAnsi="Times New Roman"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503F52">
        <w:rPr>
          <w:sz w:val="24"/>
          <w:szCs w:val="24"/>
        </w:rPr>
        <w:t xml:space="preserve"> практической подготовки в форме </w:t>
      </w:r>
      <w:r w:rsidRPr="006F6673">
        <w:rPr>
          <w:sz w:val="24"/>
          <w:szCs w:val="24"/>
        </w:rPr>
        <w:t xml:space="preserve">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="00106D80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уметь осуществлять (совместно с психологом и др. специалистами) психолого-педагогическое сопровождение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</w:t>
            </w:r>
            <w:r>
              <w:rPr>
                <w:color w:val="000000"/>
                <w:sz w:val="24"/>
                <w:szCs w:val="24"/>
              </w:rPr>
              <w:lastRenderedPageBreak/>
              <w:t>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ОПК-8.6 владеть способами совершенствования профессиональных знаний и </w:t>
            </w:r>
            <w:r>
              <w:rPr>
                <w:color w:val="000000"/>
                <w:sz w:val="24"/>
                <w:szCs w:val="24"/>
              </w:rPr>
              <w:lastRenderedPageBreak/>
              <w:t>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Способен организовывать деятельность обучающихся, направленную на развитие интереса к учебным </w:t>
            </w:r>
            <w:r w:rsidRPr="006F6673">
              <w:rPr>
                <w:sz w:val="24"/>
                <w:szCs w:val="24"/>
              </w:rPr>
              <w:lastRenderedPageBreak/>
              <w:t>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</w:t>
            </w:r>
            <w:r>
              <w:rPr>
                <w:color w:val="000000"/>
                <w:sz w:val="24"/>
                <w:szCs w:val="24"/>
              </w:rPr>
              <w:lastRenderedPageBreak/>
              <w:t>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503F52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503F52">
        <w:rPr>
          <w:color w:val="000000"/>
          <w:sz w:val="24"/>
          <w:szCs w:val="24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03F52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(ранняя преподавательская)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503F52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="00503F52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B55F27" w:rsidRDefault="000A41E4" w:rsidP="00E50ABE">
            <w:pPr>
              <w:rPr>
                <w:color w:val="000000"/>
                <w:lang w:val="ru-RU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Проведение установочной конференции (вебинара/ групповой консультации), в ходе кото</w:t>
            </w: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рой: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ставятся цели и задачи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излагаются основные направления деятельности студентов;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•вручается пакет документации по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Подготовка студентов к практике: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1. </w:t>
            </w:r>
            <w:r w:rsidRPr="00F400F0">
              <w:rPr>
                <w:bCs/>
                <w:color w:val="000000"/>
                <w:sz w:val="22"/>
                <w:szCs w:val="22"/>
              </w:rPr>
              <w:t>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>Изучение интересов и мнений учащихся</w:t>
            </w:r>
            <w:r w:rsidRPr="00B55F27">
              <w:rPr>
                <w:sz w:val="22"/>
                <w:szCs w:val="22"/>
                <w:lang w:val="ru-RU"/>
              </w:rPr>
              <w:t xml:space="preserve"> в связи с подготовкой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воспитательного мероприятия</w:t>
            </w:r>
            <w:r w:rsidRPr="00B55F27">
              <w:rPr>
                <w:sz w:val="22"/>
                <w:szCs w:val="22"/>
                <w:lang w:val="ru-RU"/>
              </w:rPr>
              <w:t xml:space="preserve"> (с использованием методов наблюдение, анкети</w:t>
            </w:r>
            <w:r w:rsidRPr="00B55F27">
              <w:rPr>
                <w:sz w:val="22"/>
                <w:szCs w:val="22"/>
                <w:lang w:val="ru-RU"/>
              </w:rPr>
              <w:lastRenderedPageBreak/>
              <w:t xml:space="preserve">рование, беседы) 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Подготовка и проведение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2. Психолого-педагогическая диагностика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Проведение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диагностического исследования познавательной сферы учащегося.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 xml:space="preserve"> Анализ результатов диагностического исследования познавательной сферы учащегося</w:t>
            </w:r>
            <w:r w:rsidRPr="00B55F27">
              <w:rPr>
                <w:sz w:val="22"/>
                <w:szCs w:val="22"/>
                <w:lang w:val="ru-RU"/>
              </w:rPr>
              <w:t xml:space="preserve">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</w:t>
            </w:r>
            <w:r w:rsidRPr="00B55F2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психолого-педагогический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анализ воспитательных мероприятий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–Анализ подготовки и проведения родительского собрания </w:t>
            </w:r>
            <w:r w:rsidRPr="00B55F27">
              <w:rPr>
                <w:sz w:val="22"/>
                <w:szCs w:val="22"/>
                <w:lang w:val="ru-RU"/>
              </w:rPr>
              <w:t xml:space="preserve">(по схеме, содержащейся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Диагностическо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е </w:t>
            </w:r>
            <w:r w:rsidRPr="00B55F27">
              <w:rPr>
                <w:i/>
                <w:sz w:val="22"/>
                <w:szCs w:val="22"/>
                <w:lang w:val="ru-RU"/>
              </w:rPr>
              <w:t>исследование, направленное на изучение самооценки и уровня притязаний, мотивациимладших школьников</w:t>
            </w:r>
            <w:r w:rsidRPr="00B55F27">
              <w:rPr>
                <w:sz w:val="22"/>
                <w:szCs w:val="22"/>
                <w:lang w:val="ru-RU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Отчет о работе в качестве помощника классного руководителя.</w:t>
            </w:r>
          </w:p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8D35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Посещение и анализ урока.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 xml:space="preserve">Анализ урока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анализ техники чтения</w:t>
            </w:r>
          </w:p>
          <w:p w:rsidR="00310883" w:rsidRPr="00B55F27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 характеристику наблюдаемого учащегося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Подготовка и проведение беседы с учащимися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тема – по выбору студента или в соответствии с планом воспитательной работы класса</w:t>
            </w:r>
            <w:r w:rsidRPr="00B55F27">
              <w:rPr>
                <w:sz w:val="22"/>
                <w:szCs w:val="22"/>
                <w:lang w:val="ru-RU"/>
              </w:rPr>
              <w:t>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39" w:type="pct"/>
            <w:gridSpan w:val="7"/>
          </w:tcPr>
          <w:p w:rsidR="00310883" w:rsidRPr="00B55F27" w:rsidRDefault="00310883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lastRenderedPageBreak/>
              <w:t>Наблюдение за деятельностью педагога-психолога и ее анализ</w:t>
            </w:r>
            <w:r w:rsidRPr="00B55F27">
              <w:rPr>
                <w:sz w:val="22"/>
                <w:szCs w:val="22"/>
                <w:lang w:val="ru-RU"/>
              </w:rPr>
              <w:t>.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Проведение психодиагностики личности учащегося. 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деятельность.</w:t>
            </w:r>
          </w:p>
          <w:p w:rsidR="002E6B48" w:rsidRPr="00B55F27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Наблюдение за деятельностью педагога-психолога и ее анализ;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 характеристику наблюдаемого учащегося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знакомство с годовым планом работы педагога-психолога учреждения.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B55F27" w:rsidRDefault="00793AC7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- датьпсихолого-педагогическую характеристику наблюдаемого класса. </w:t>
            </w:r>
          </w:p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793AC7" w:rsidRPr="00B55F27" w:rsidRDefault="00793AC7" w:rsidP="004E06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анализ коррекционных мероприятий. </w:t>
            </w:r>
          </w:p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Проанализировать </w:t>
            </w:r>
            <w:r w:rsidRPr="00B55F27">
              <w:rPr>
                <w:sz w:val="22"/>
                <w:szCs w:val="22"/>
                <w:lang w:val="ru-RU"/>
              </w:rPr>
              <w:t>программы коррекционной работы, предусматривающие создание специальных условий обучения и воспитания, позво</w:t>
            </w:r>
            <w:r w:rsidRPr="00B55F27">
              <w:rPr>
                <w:sz w:val="22"/>
                <w:szCs w:val="22"/>
                <w:lang w:val="ru-RU"/>
              </w:rPr>
              <w:lastRenderedPageBreak/>
              <w:t>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4E0686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E84BB8" w:rsidRPr="00B55F27" w:rsidRDefault="00E84BB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E84BB8" w:rsidRPr="00B55F27" w:rsidRDefault="00E84BB8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Под</w:t>
            </w:r>
            <w:r w:rsidRPr="00B55F27">
              <w:rPr>
                <w:i/>
                <w:sz w:val="24"/>
                <w:szCs w:val="24"/>
                <w:lang w:val="ru-RU"/>
              </w:rPr>
              <w:t>готовка занятия с детьми в качестве педагога-психолога.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Конспект плана урока, презентация.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Решение педагогических ситуаций.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–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Описание решения 2-3 конкретных педагогических ситуаций (в процессе прохождения практики).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B55F27" w:rsidRDefault="00F5239C" w:rsidP="00927463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воспитательных мероприятий*. </w:t>
            </w:r>
          </w:p>
          <w:p w:rsidR="00F5239C" w:rsidRPr="00B55F27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* 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Педагогические ситуации и воспитательные мероприятия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B55F27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F5239C" w:rsidRPr="00B55F27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B55F27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E5C97" w:rsidRPr="00B55F27" w:rsidRDefault="000E5C97" w:rsidP="000E5C97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 xml:space="preserve">− </w:t>
            </w:r>
            <w:r w:rsidRPr="00B55F27">
              <w:rPr>
                <w:i/>
                <w:sz w:val="24"/>
                <w:szCs w:val="24"/>
                <w:lang w:val="ru-RU"/>
              </w:rPr>
              <w:t>подготовка урока  по информатике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>Результат: конспект плана урока, презентация.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 xml:space="preserve">уровня воспитанности  двух-трех обучающихся по методике М.И. Шиловой. Результат: составление протокола обследования, выводы по  результатам обследования. 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</w:p>
          <w:p w:rsidR="00480BD0" w:rsidRPr="00B55F27" w:rsidRDefault="00480BD0" w:rsidP="000E5C97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84FA4" w:rsidRPr="00B55F27" w:rsidRDefault="00084FA4" w:rsidP="00084FA4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. Организационно-методическая деятельность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84FA4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84FA4">
            <w:pPr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Анализ техники чтения</w:t>
            </w:r>
            <w:r w:rsidRPr="00B55F27">
              <w:rPr>
                <w:i/>
                <w:sz w:val="24"/>
                <w:szCs w:val="24"/>
                <w:lang w:val="ru-RU"/>
              </w:rPr>
              <w:t>.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заполненный бланк с результатами анализа техники чтения.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дать характеристику наблюдаемого учащегося по алгоритму, представленному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lastRenderedPageBreak/>
              <w:t>в методических указаниях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Результат: психолого-педагогическая характеристика учащегося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– отчет в свободной форме 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По окончании практики студент представляет на кафедру: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отчет о практике,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дневник практики,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Подведение итогов практики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B55F27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503F52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03F52"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503F52">
        <w:rPr>
          <w:i/>
          <w:iCs/>
        </w:rPr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ОмГА </w:t>
      </w:r>
      <w:r w:rsidR="00823B10" w:rsidRPr="006F6673">
        <w:rPr>
          <w:sz w:val="24"/>
          <w:szCs w:val="24"/>
        </w:rPr>
        <w:lastRenderedPageBreak/>
        <w:t>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6F6673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503F52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F6673">
        <w:rPr>
          <w:sz w:val="24"/>
          <w:szCs w:val="24"/>
        </w:rPr>
        <w:lastRenderedPageBreak/>
        <w:t>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503F52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03F52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503F5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630845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(Высшее образование). — ISBN 978-5-534-04943-5. — Текст : электронный // ЭБС Юрайт [сайт]. — URL: </w:t>
      </w:r>
      <w:hyperlink r:id="rId14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26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6308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6308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6308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63084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3084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6F6673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503F52" w:rsidRPr="00503F52" w:rsidRDefault="00A84C24" w:rsidP="00503F52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6673">
        <w:rPr>
          <w:sz w:val="24"/>
          <w:szCs w:val="24"/>
        </w:rPr>
        <w:br w:type="page"/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г.Омск</w:t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03F5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03F5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color w:val="000000"/>
          <w:sz w:val="24"/>
          <w:szCs w:val="24"/>
        </w:rPr>
        <w:t>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color w:val="000000"/>
          <w:sz w:val="24"/>
          <w:szCs w:val="24"/>
        </w:rPr>
        <w:t>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503F5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03F5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03F5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03F52" w:rsidRPr="00503F52" w:rsidRDefault="00503F52" w:rsidP="00503F5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F52" w:rsidRPr="00503F52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03F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03F5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03F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03F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03F52" w:rsidRPr="00503F52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03F5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03F5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03F52" w:rsidRPr="00503F52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Pr="006F6673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5F27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образование» и «Иностранный язык»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503F52" w:rsidRDefault="00503F52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30845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5CF" w:rsidRDefault="002A25CF" w:rsidP="00160BC1">
      <w:r>
        <w:separator/>
      </w:r>
    </w:p>
  </w:endnote>
  <w:endnote w:type="continuationSeparator" w:id="0">
    <w:p w:rsidR="002A25CF" w:rsidRDefault="002A25C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5CF" w:rsidRDefault="002A25CF" w:rsidP="00160BC1">
      <w:r>
        <w:separator/>
      </w:r>
    </w:p>
  </w:footnote>
  <w:footnote w:type="continuationSeparator" w:id="0">
    <w:p w:rsidR="002A25CF" w:rsidRDefault="002A25C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06D80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6D9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5CF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15F70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37E4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03F5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64A"/>
    <w:rsid w:val="00595D8D"/>
    <w:rsid w:val="005A28FC"/>
    <w:rsid w:val="005A7E08"/>
    <w:rsid w:val="005B3A1E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0845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436D"/>
    <w:rsid w:val="00855751"/>
    <w:rsid w:val="00857FC8"/>
    <w:rsid w:val="00864F9B"/>
    <w:rsid w:val="0086651C"/>
    <w:rsid w:val="00866826"/>
    <w:rsid w:val="00870360"/>
    <w:rsid w:val="008707A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2DF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5F27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0075A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5E53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17">
    <w:name w:val="Неразрешенное упоминание1"/>
    <w:basedOn w:val="a1"/>
    <w:uiPriority w:val="99"/>
    <w:semiHidden/>
    <w:unhideWhenUsed/>
    <w:rsid w:val="008D72DF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503F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1"/>
    <w:uiPriority w:val="99"/>
    <w:semiHidden/>
    <w:unhideWhenUsed/>
    <w:rsid w:val="0020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32</Pages>
  <Words>15893</Words>
  <Characters>90595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106276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20</cp:revision>
  <cp:lastPrinted>2019-10-17T08:03:00Z</cp:lastPrinted>
  <dcterms:created xsi:type="dcterms:W3CDTF">2022-02-19T10:07:00Z</dcterms:created>
  <dcterms:modified xsi:type="dcterms:W3CDTF">2022-11-13T19:45:00Z</dcterms:modified>
</cp:coreProperties>
</file>